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CEBD" w14:textId="77777777" w:rsidR="0001305C" w:rsidRDefault="0001305C" w:rsidP="00331DA8">
      <w:pPr>
        <w:pStyle w:val="Heading2"/>
      </w:pPr>
      <w:r>
        <w:t>Regional Population and Demographic Trends</w:t>
      </w:r>
    </w:p>
    <w:p w14:paraId="2349EEA5" w14:textId="77777777" w:rsidR="0001305C" w:rsidRDefault="0001305C" w:rsidP="0001305C">
      <w:pPr>
        <w:numPr>
          <w:ilvl w:val="0"/>
          <w:numId w:val="1"/>
        </w:numPr>
        <w:shd w:val="clear" w:color="auto" w:fill="FFFFFF"/>
        <w:spacing w:line="360" w:lineRule="atLeast"/>
        <w:rPr>
          <w:rFonts w:ascii="Roboto" w:eastAsia="Times New Roman" w:hAnsi="Roboto"/>
          <w:color w:val="0A0A0A"/>
        </w:rPr>
      </w:pPr>
      <w:r>
        <w:rPr>
          <w:rFonts w:ascii="Roboto" w:eastAsia="Times New Roman" w:hAnsi="Roboto"/>
          <w:b/>
          <w:bCs/>
          <w:color w:val="0A0A0A"/>
        </w:rPr>
        <w:t>High Concentration:</w:t>
      </w:r>
      <w:r>
        <w:rPr>
          <w:rFonts w:ascii="Roboto" w:eastAsia="Times New Roman" w:hAnsi="Roboto"/>
          <w:color w:val="0A0A0A"/>
        </w:rPr>
        <w:t> The Southeast region has one of the highest concentrations of seniors in Alaska, with more than one in four residents being aged 60 or older.</w:t>
      </w:r>
    </w:p>
    <w:p w14:paraId="6654FC71" w14:textId="77777777" w:rsidR="0001305C" w:rsidRDefault="0001305C" w:rsidP="0001305C">
      <w:pPr>
        <w:numPr>
          <w:ilvl w:val="0"/>
          <w:numId w:val="1"/>
        </w:numPr>
        <w:shd w:val="clear" w:color="auto" w:fill="FFFFFF"/>
        <w:spacing w:line="360" w:lineRule="atLeast"/>
        <w:rPr>
          <w:rFonts w:ascii="Roboto" w:eastAsia="Times New Roman" w:hAnsi="Roboto"/>
          <w:color w:val="0A0A0A"/>
        </w:rPr>
      </w:pPr>
      <w:r>
        <w:rPr>
          <w:rFonts w:ascii="Roboto" w:eastAsia="Times New Roman" w:hAnsi="Roboto"/>
          <w:b/>
          <w:bCs/>
          <w:color w:val="0A0A0A"/>
        </w:rPr>
        <w:t>Population Growth:</w:t>
      </w:r>
      <w:r>
        <w:rPr>
          <w:rFonts w:ascii="Roboto" w:eastAsia="Times New Roman" w:hAnsi="Roboto"/>
          <w:color w:val="0A0A0A"/>
        </w:rPr>
        <w:t> Alaska's 65+ population more than doubled between 2010 and 2024, leading to increased demand for services for age-related conditions, including vision loss.</w:t>
      </w:r>
    </w:p>
    <w:p w14:paraId="65656659" w14:textId="77777777" w:rsidR="0001305C" w:rsidRDefault="0001305C" w:rsidP="0001305C">
      <w:pPr>
        <w:numPr>
          <w:ilvl w:val="0"/>
          <w:numId w:val="1"/>
        </w:numPr>
        <w:shd w:val="clear" w:color="auto" w:fill="FFFFFF"/>
        <w:spacing w:line="360" w:lineRule="atLeast"/>
        <w:rPr>
          <w:rFonts w:eastAsia="Times New Roman"/>
        </w:rPr>
      </w:pPr>
      <w:r>
        <w:rPr>
          <w:rFonts w:ascii="Roboto" w:eastAsia="Times New Roman" w:hAnsi="Roboto"/>
          <w:b/>
          <w:bCs/>
          <w:color w:val="0A0A0A"/>
        </w:rPr>
        <w:t>Regional Senior Population:</w:t>
      </w:r>
      <w:r>
        <w:rPr>
          <w:rFonts w:ascii="Roboto" w:eastAsia="Times New Roman" w:hAnsi="Roboto"/>
          <w:color w:val="0A0A0A"/>
        </w:rPr>
        <w:t> As of 2023, there were roughly 18,852 seniors in the Southeast region. </w:t>
      </w:r>
    </w:p>
    <w:p w14:paraId="7E14425D" w14:textId="129C1E19" w:rsidR="0001305C" w:rsidRDefault="0001305C" w:rsidP="0001305C">
      <w:pPr>
        <w:shd w:val="clear" w:color="auto" w:fill="FFFFFF"/>
        <w:spacing w:line="360" w:lineRule="atLeast"/>
        <w:ind w:left="720"/>
      </w:pPr>
      <w:r>
        <w:rPr>
          <w:rFonts w:ascii="Roboto" w:hAnsi="Roboto"/>
          <w:noProof/>
          <w:color w:val="0A0A0A"/>
        </w:rPr>
        <w:drawing>
          <wp:inline distT="0" distB="0" distL="0" distR="0" wp14:anchorId="79952D77" wp14:editId="2163F433">
            <wp:extent cx="457200" cy="457200"/>
            <wp:effectExtent l="0" t="0" r="0" b="0"/>
            <wp:docPr id="342996733" name="Picture 3" descr="State of Alaska | Department of Health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of Alaska | Department of Health (.gov)"/>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ascii="Roboto" w:hAnsi="Roboto"/>
          <w:color w:val="545D7E"/>
          <w:sz w:val="17"/>
          <w:szCs w:val="17"/>
        </w:rPr>
        <w:t>State of Alaska | Department of Health (.gov) +3</w:t>
      </w:r>
    </w:p>
    <w:p w14:paraId="6A42E869" w14:textId="77777777" w:rsidR="0001305C" w:rsidRDefault="0001305C" w:rsidP="00331DA8">
      <w:pPr>
        <w:pStyle w:val="Heading2"/>
      </w:pPr>
      <w:r>
        <w:t>Vision Loss and Blindness Statistics</w:t>
      </w:r>
    </w:p>
    <w:p w14:paraId="23DB0373" w14:textId="77777777" w:rsidR="0001305C" w:rsidRDefault="0001305C" w:rsidP="0001305C">
      <w:pPr>
        <w:numPr>
          <w:ilvl w:val="0"/>
          <w:numId w:val="2"/>
        </w:numPr>
        <w:shd w:val="clear" w:color="auto" w:fill="FFFFFF"/>
        <w:spacing w:line="360" w:lineRule="atLeast"/>
        <w:rPr>
          <w:rFonts w:ascii="Roboto" w:eastAsia="Times New Roman" w:hAnsi="Roboto"/>
          <w:color w:val="0A0A0A"/>
        </w:rPr>
      </w:pPr>
      <w:r>
        <w:rPr>
          <w:rFonts w:ascii="Roboto" w:eastAsia="Times New Roman" w:hAnsi="Roboto"/>
          <w:b/>
          <w:bCs/>
          <w:color w:val="0A0A0A"/>
        </w:rPr>
        <w:t>Prevalence:</w:t>
      </w:r>
      <w:r>
        <w:rPr>
          <w:rFonts w:ascii="Roboto" w:eastAsia="Times New Roman" w:hAnsi="Roboto"/>
          <w:color w:val="0A0A0A"/>
        </w:rPr>
        <w:t> Approximately 23.2% of U.S. adults aged 65 and older have trouble seeing, even with glasses or contact lenses.</w:t>
      </w:r>
    </w:p>
    <w:p w14:paraId="24201D8F" w14:textId="77777777" w:rsidR="0001305C" w:rsidRDefault="0001305C" w:rsidP="0001305C">
      <w:pPr>
        <w:numPr>
          <w:ilvl w:val="0"/>
          <w:numId w:val="2"/>
        </w:numPr>
        <w:shd w:val="clear" w:color="auto" w:fill="FFFFFF"/>
        <w:spacing w:line="360" w:lineRule="atLeast"/>
        <w:rPr>
          <w:rFonts w:ascii="Roboto" w:eastAsia="Times New Roman" w:hAnsi="Roboto"/>
          <w:color w:val="0A0A0A"/>
        </w:rPr>
      </w:pPr>
      <w:r>
        <w:rPr>
          <w:rFonts w:ascii="Roboto" w:eastAsia="Times New Roman" w:hAnsi="Roboto"/>
          <w:b/>
          <w:bCs/>
          <w:color w:val="0A0A0A"/>
        </w:rPr>
        <w:t>Alaska Native Population:</w:t>
      </w:r>
      <w:r>
        <w:rPr>
          <w:rFonts w:ascii="Roboto" w:eastAsia="Times New Roman" w:hAnsi="Roboto"/>
          <w:color w:val="0A0A0A"/>
        </w:rPr>
        <w:t> Among Alaska Native people, the prevalence of visual impairment increases with age, with a reported 8.7% suffering from unadjusted visual impairment.</w:t>
      </w:r>
    </w:p>
    <w:p w14:paraId="7F1AB510" w14:textId="77777777" w:rsidR="0001305C" w:rsidRDefault="0001305C" w:rsidP="0001305C">
      <w:pPr>
        <w:numPr>
          <w:ilvl w:val="0"/>
          <w:numId w:val="2"/>
        </w:numPr>
        <w:shd w:val="clear" w:color="auto" w:fill="FFFFFF"/>
        <w:spacing w:line="360" w:lineRule="atLeast"/>
        <w:rPr>
          <w:rFonts w:ascii="Roboto" w:eastAsia="Times New Roman" w:hAnsi="Roboto"/>
          <w:color w:val="0A0A0A"/>
        </w:rPr>
      </w:pPr>
      <w:r>
        <w:rPr>
          <w:rFonts w:ascii="Roboto" w:eastAsia="Times New Roman" w:hAnsi="Roboto"/>
          <w:b/>
          <w:bCs/>
          <w:color w:val="0A0A0A"/>
        </w:rPr>
        <w:t>Primary Causes:</w:t>
      </w:r>
      <w:r>
        <w:rPr>
          <w:rFonts w:ascii="Roboto" w:eastAsia="Times New Roman" w:hAnsi="Roboto"/>
          <w:color w:val="0A0A0A"/>
        </w:rPr>
        <w:t xml:space="preserve"> The main causes </w:t>
      </w:r>
      <w:proofErr w:type="gramStart"/>
      <w:r>
        <w:rPr>
          <w:rFonts w:ascii="Roboto" w:eastAsia="Times New Roman" w:hAnsi="Roboto"/>
          <w:color w:val="0A0A0A"/>
        </w:rPr>
        <w:t>for</w:t>
      </w:r>
      <w:proofErr w:type="gramEnd"/>
      <w:r>
        <w:rPr>
          <w:rFonts w:ascii="Roboto" w:eastAsia="Times New Roman" w:hAnsi="Roboto"/>
          <w:color w:val="0A0A0A"/>
        </w:rPr>
        <w:t xml:space="preserve"> vision loss in older adults are cataracts (60%), age-related macular degeneration (38%), glaucoma (22%), and diabetic retinopathy (15%).</w:t>
      </w:r>
    </w:p>
    <w:p w14:paraId="3EA116E8" w14:textId="77777777" w:rsidR="0001305C" w:rsidRDefault="0001305C" w:rsidP="0001305C">
      <w:pPr>
        <w:numPr>
          <w:ilvl w:val="0"/>
          <w:numId w:val="2"/>
        </w:numPr>
        <w:shd w:val="clear" w:color="auto" w:fill="FFFFFF"/>
        <w:spacing w:line="360" w:lineRule="atLeast"/>
        <w:rPr>
          <w:rFonts w:eastAsia="Times New Roman"/>
        </w:rPr>
      </w:pPr>
      <w:r>
        <w:rPr>
          <w:rFonts w:ascii="Roboto" w:eastAsia="Times New Roman" w:hAnsi="Roboto"/>
          <w:b/>
          <w:bCs/>
          <w:color w:val="0A0A0A"/>
        </w:rPr>
        <w:t>Regional Impact:</w:t>
      </w:r>
      <w:r>
        <w:rPr>
          <w:rFonts w:ascii="Roboto" w:eastAsia="Times New Roman" w:hAnsi="Roboto"/>
          <w:color w:val="0A0A0A"/>
        </w:rPr>
        <w:t> The </w:t>
      </w:r>
      <w:r>
        <w:rPr>
          <w:rFonts w:ascii="Roboto" w:eastAsia="Times New Roman" w:hAnsi="Roboto"/>
          <w:b/>
          <w:bCs/>
          <w:color w:val="0A0A0A"/>
        </w:rPr>
        <w:t>Older Blind Alaskan Program</w:t>
      </w:r>
      <w:r>
        <w:rPr>
          <w:rFonts w:ascii="Roboto" w:eastAsia="Times New Roman" w:hAnsi="Roboto"/>
          <w:color w:val="0A0A0A"/>
        </w:rPr>
        <w:t> identifies individuals 55 and older with significant vision impairments as an underserved population, offering support groups specifically in </w:t>
      </w:r>
      <w:r>
        <w:rPr>
          <w:rFonts w:ascii="Roboto" w:eastAsia="Times New Roman" w:hAnsi="Roboto"/>
          <w:b/>
          <w:bCs/>
          <w:color w:val="0A0A0A"/>
        </w:rPr>
        <w:t>Juneau</w:t>
      </w:r>
      <w:r>
        <w:rPr>
          <w:rFonts w:ascii="Roboto" w:eastAsia="Times New Roman" w:hAnsi="Roboto"/>
          <w:color w:val="0A0A0A"/>
        </w:rPr>
        <w:t> and </w:t>
      </w:r>
      <w:r>
        <w:rPr>
          <w:rFonts w:ascii="Roboto" w:eastAsia="Times New Roman" w:hAnsi="Roboto"/>
          <w:b/>
          <w:bCs/>
          <w:color w:val="0A0A0A"/>
        </w:rPr>
        <w:t>Ketchikan</w:t>
      </w:r>
      <w:r>
        <w:rPr>
          <w:rFonts w:ascii="Roboto" w:eastAsia="Times New Roman" w:hAnsi="Roboto"/>
          <w:color w:val="0A0A0A"/>
        </w:rPr>
        <w:t>. </w:t>
      </w:r>
    </w:p>
    <w:p w14:paraId="44F891EE" w14:textId="5C40C007" w:rsidR="0001305C" w:rsidRDefault="0001305C" w:rsidP="0001305C">
      <w:pPr>
        <w:shd w:val="clear" w:color="auto" w:fill="FFFFFF"/>
        <w:spacing w:line="360" w:lineRule="atLeast"/>
        <w:ind w:left="720"/>
      </w:pPr>
      <w:r>
        <w:rPr>
          <w:rFonts w:ascii="Roboto" w:hAnsi="Roboto"/>
          <w:noProof/>
          <w:color w:val="0A0A0A"/>
        </w:rPr>
        <w:drawing>
          <wp:inline distT="0" distB="0" distL="0" distR="0" wp14:anchorId="6AFE23B7" wp14:editId="2C4132A5">
            <wp:extent cx="1219200" cy="1219200"/>
            <wp:effectExtent l="0" t="0" r="0" b="0"/>
            <wp:docPr id="2007708456" name="Picture 2" descr="Southeast Alaska Independent L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203349" descr="Southeast Alaska Independent Livi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Pr>
          <w:rFonts w:ascii="Roboto" w:hAnsi="Roboto"/>
          <w:color w:val="545D7E"/>
          <w:sz w:val="17"/>
          <w:szCs w:val="17"/>
        </w:rPr>
        <w:t>Southeast Alaska Independent Living +4</w:t>
      </w:r>
    </w:p>
    <w:p w14:paraId="0F033486" w14:textId="77777777" w:rsidR="0001305C" w:rsidRDefault="0001305C" w:rsidP="00331DA8">
      <w:pPr>
        <w:pStyle w:val="Heading2"/>
      </w:pPr>
      <w:r>
        <w:t>Services and Support</w:t>
      </w:r>
    </w:p>
    <w:p w14:paraId="0902C316" w14:textId="77777777" w:rsidR="0001305C" w:rsidRDefault="0001305C" w:rsidP="0001305C">
      <w:pPr>
        <w:numPr>
          <w:ilvl w:val="0"/>
          <w:numId w:val="3"/>
        </w:numPr>
        <w:shd w:val="clear" w:color="auto" w:fill="FFFFFF"/>
        <w:spacing w:line="360" w:lineRule="atLeast"/>
        <w:rPr>
          <w:rFonts w:ascii="Roboto" w:eastAsia="Times New Roman" w:hAnsi="Roboto"/>
          <w:color w:val="0A0A0A"/>
        </w:rPr>
      </w:pPr>
      <w:r>
        <w:rPr>
          <w:rFonts w:ascii="Roboto" w:eastAsia="Times New Roman" w:hAnsi="Roboto"/>
          <w:b/>
          <w:bCs/>
          <w:color w:val="0A0A0A"/>
        </w:rPr>
        <w:t>Support Services:</w:t>
      </w:r>
      <w:r>
        <w:rPr>
          <w:rFonts w:ascii="Roboto" w:eastAsia="Times New Roman" w:hAnsi="Roboto"/>
          <w:color w:val="0A0A0A"/>
        </w:rPr>
        <w:t> SAIL (Southeast Alaska Independent Living) offers the Older Blind Alaskan Program, which provides services to help seniors adjust to vision loss, including training, support groups, and assistive technology.</w:t>
      </w:r>
    </w:p>
    <w:p w14:paraId="4A02E4A1" w14:textId="77777777" w:rsidR="0001305C" w:rsidRDefault="0001305C" w:rsidP="0001305C">
      <w:pPr>
        <w:numPr>
          <w:ilvl w:val="0"/>
          <w:numId w:val="3"/>
        </w:numPr>
        <w:shd w:val="clear" w:color="auto" w:fill="FFFFFF"/>
        <w:spacing w:line="360" w:lineRule="atLeast"/>
        <w:rPr>
          <w:rFonts w:ascii="Roboto" w:eastAsia="Times New Roman" w:hAnsi="Roboto"/>
          <w:color w:val="0A0A0A"/>
        </w:rPr>
      </w:pPr>
      <w:r>
        <w:rPr>
          <w:rFonts w:ascii="Roboto" w:eastAsia="Times New Roman" w:hAnsi="Roboto"/>
          <w:b/>
          <w:bCs/>
          <w:color w:val="0A0A0A"/>
        </w:rPr>
        <w:lastRenderedPageBreak/>
        <w:t>Financial Assistance:</w:t>
      </w:r>
      <w:r>
        <w:rPr>
          <w:rFonts w:ascii="Roboto" w:eastAsia="Times New Roman" w:hAnsi="Roboto"/>
          <w:color w:val="0A0A0A"/>
        </w:rPr>
        <w:t xml:space="preserve"> The state offers Adult Public Assistance (APA) for residents aged 65+ or those </w:t>
      </w:r>
      <w:proofErr w:type="gramStart"/>
      <w:r>
        <w:rPr>
          <w:rFonts w:ascii="Roboto" w:eastAsia="Times New Roman" w:hAnsi="Roboto"/>
          <w:color w:val="0A0A0A"/>
        </w:rPr>
        <w:t>with18</w:t>
      </w:r>
      <w:proofErr w:type="gramEnd"/>
      <w:r>
        <w:rPr>
          <w:rFonts w:ascii="Roboto" w:eastAsia="Times New Roman" w:hAnsi="Roboto"/>
          <w:color w:val="0A0A0A"/>
        </w:rPr>
        <w:t>+ with legal blindness (corrected vision 20/200 or less).</w:t>
      </w:r>
    </w:p>
    <w:p w14:paraId="6C09D2D2" w14:textId="77777777" w:rsidR="0001305C" w:rsidRDefault="0001305C" w:rsidP="0001305C">
      <w:pPr>
        <w:numPr>
          <w:ilvl w:val="0"/>
          <w:numId w:val="3"/>
        </w:numPr>
        <w:shd w:val="clear" w:color="auto" w:fill="FFFFFF"/>
        <w:spacing w:line="360" w:lineRule="atLeast"/>
        <w:rPr>
          <w:rFonts w:eastAsia="Times New Roman"/>
        </w:rPr>
      </w:pPr>
      <w:r>
        <w:rPr>
          <w:rFonts w:ascii="Roboto" w:eastAsia="Times New Roman" w:hAnsi="Roboto"/>
          <w:b/>
          <w:bCs/>
          <w:color w:val="0A0A0A"/>
        </w:rPr>
        <w:t>Benefits Access:</w:t>
      </w:r>
      <w:r>
        <w:rPr>
          <w:rFonts w:ascii="Roboto" w:eastAsia="Times New Roman" w:hAnsi="Roboto"/>
          <w:color w:val="0A0A0A"/>
        </w:rPr>
        <w:t> About 1 in 2 seniors in Alaska report difficulty paying bills, highlighting the need for support services. </w:t>
      </w:r>
    </w:p>
    <w:p w14:paraId="4FE9B66D" w14:textId="61D68A73" w:rsidR="0001305C" w:rsidRDefault="0001305C" w:rsidP="0001305C">
      <w:pPr>
        <w:shd w:val="clear" w:color="auto" w:fill="FFFFFF"/>
        <w:spacing w:line="360" w:lineRule="atLeast"/>
        <w:ind w:left="720"/>
      </w:pPr>
      <w:r>
        <w:rPr>
          <w:rFonts w:ascii="Roboto" w:hAnsi="Roboto"/>
          <w:noProof/>
          <w:color w:val="0A0A0A"/>
        </w:rPr>
        <w:drawing>
          <wp:inline distT="0" distB="0" distL="0" distR="0" wp14:anchorId="32AD1C7E" wp14:editId="3A0B62B5">
            <wp:extent cx="457200" cy="457200"/>
            <wp:effectExtent l="0" t="0" r="0" b="0"/>
            <wp:docPr id="1076956163" name="Picture 1" descr="State of Alaska | Department of Health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of Alaska | Department of Health (.gov)"/>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ascii="Roboto" w:hAnsi="Roboto"/>
          <w:color w:val="545D7E"/>
          <w:sz w:val="17"/>
          <w:szCs w:val="17"/>
        </w:rPr>
        <w:t>State of Alaska | Department of Health (.gov) +3</w:t>
      </w:r>
    </w:p>
    <w:p w14:paraId="20FEB208" w14:textId="5408626A" w:rsidR="00D82DA2" w:rsidRDefault="0001305C" w:rsidP="0001305C">
      <w:r>
        <w:rPr>
          <w:rFonts w:ascii="Roboto" w:hAnsi="Roboto"/>
          <w:i/>
          <w:iCs/>
          <w:color w:val="0A0A0A"/>
        </w:rPr>
        <w:t>Note: The most recent available data from the Alaska Commission on Aging focuses heavily on regional population counts, while specific prevalence of blindness rates for Southeast Alaska seniors is often inferred from state-level studies (e.g., Alaska Native Health Status Report) or national data.</w:t>
      </w:r>
    </w:p>
    <w:sectPr w:rsidR="00D82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17E21"/>
    <w:multiLevelType w:val="multilevel"/>
    <w:tmpl w:val="1B447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11DA0"/>
    <w:multiLevelType w:val="multilevel"/>
    <w:tmpl w:val="8ED63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44865"/>
    <w:multiLevelType w:val="multilevel"/>
    <w:tmpl w:val="2B2EF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75760845">
    <w:abstractNumId w:val="2"/>
  </w:num>
  <w:num w:numId="2" w16cid:durableId="1095902988">
    <w:abstractNumId w:val="1"/>
  </w:num>
  <w:num w:numId="3" w16cid:durableId="13311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5C"/>
    <w:rsid w:val="0001305C"/>
    <w:rsid w:val="00331DA8"/>
    <w:rsid w:val="008116EC"/>
    <w:rsid w:val="00B71A03"/>
    <w:rsid w:val="00C33623"/>
    <w:rsid w:val="00D82DA2"/>
    <w:rsid w:val="00F77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1168"/>
  <w15:chartTrackingRefBased/>
  <w15:docId w15:val="{29A329CE-C595-4287-AC7C-DEEDEF36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05C"/>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013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3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0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0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0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0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3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05C"/>
    <w:rPr>
      <w:rFonts w:eastAsiaTheme="majorEastAsia" w:cstheme="majorBidi"/>
      <w:color w:val="272727" w:themeColor="text1" w:themeTint="D8"/>
    </w:rPr>
  </w:style>
  <w:style w:type="paragraph" w:styleId="Title">
    <w:name w:val="Title"/>
    <w:basedOn w:val="Normal"/>
    <w:next w:val="Normal"/>
    <w:link w:val="TitleChar"/>
    <w:uiPriority w:val="10"/>
    <w:qFormat/>
    <w:rsid w:val="000130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05C"/>
    <w:pPr>
      <w:spacing w:before="160"/>
      <w:jc w:val="center"/>
    </w:pPr>
    <w:rPr>
      <w:i/>
      <w:iCs/>
      <w:color w:val="404040" w:themeColor="text1" w:themeTint="BF"/>
    </w:rPr>
  </w:style>
  <w:style w:type="character" w:customStyle="1" w:styleId="QuoteChar">
    <w:name w:val="Quote Char"/>
    <w:basedOn w:val="DefaultParagraphFont"/>
    <w:link w:val="Quote"/>
    <w:uiPriority w:val="29"/>
    <w:rsid w:val="0001305C"/>
    <w:rPr>
      <w:i/>
      <w:iCs/>
      <w:color w:val="404040" w:themeColor="text1" w:themeTint="BF"/>
    </w:rPr>
  </w:style>
  <w:style w:type="paragraph" w:styleId="ListParagraph">
    <w:name w:val="List Paragraph"/>
    <w:basedOn w:val="Normal"/>
    <w:uiPriority w:val="34"/>
    <w:qFormat/>
    <w:rsid w:val="0001305C"/>
    <w:pPr>
      <w:ind w:left="720"/>
      <w:contextualSpacing/>
    </w:pPr>
  </w:style>
  <w:style w:type="character" w:styleId="IntenseEmphasis">
    <w:name w:val="Intense Emphasis"/>
    <w:basedOn w:val="DefaultParagraphFont"/>
    <w:uiPriority w:val="21"/>
    <w:qFormat/>
    <w:rsid w:val="0001305C"/>
    <w:rPr>
      <w:i/>
      <w:iCs/>
      <w:color w:val="0F4761" w:themeColor="accent1" w:themeShade="BF"/>
    </w:rPr>
  </w:style>
  <w:style w:type="paragraph" w:styleId="IntenseQuote">
    <w:name w:val="Intense Quote"/>
    <w:basedOn w:val="Normal"/>
    <w:next w:val="Normal"/>
    <w:link w:val="IntenseQuoteChar"/>
    <w:uiPriority w:val="30"/>
    <w:qFormat/>
    <w:rsid w:val="00013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05C"/>
    <w:rPr>
      <w:i/>
      <w:iCs/>
      <w:color w:val="0F4761" w:themeColor="accent1" w:themeShade="BF"/>
    </w:rPr>
  </w:style>
  <w:style w:type="character" w:styleId="IntenseReference">
    <w:name w:val="Intense Reference"/>
    <w:basedOn w:val="DefaultParagraphFont"/>
    <w:uiPriority w:val="32"/>
    <w:qFormat/>
    <w:rsid w:val="000130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CCDB5.554C232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CCDB5.554C232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Ottowitz, Jennifer</dc:creator>
  <cp:keywords/>
  <dc:description/>
  <cp:lastModifiedBy>Pinnix, Karie</cp:lastModifiedBy>
  <cp:revision>2</cp:revision>
  <dcterms:created xsi:type="dcterms:W3CDTF">2026-04-17T20:43:00Z</dcterms:created>
  <dcterms:modified xsi:type="dcterms:W3CDTF">2026-04-17T20:43:00Z</dcterms:modified>
</cp:coreProperties>
</file>